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27" w:rsidRPr="00C41AB0" w:rsidRDefault="007A01A1" w:rsidP="00C41AB0">
      <w:pPr>
        <w:pStyle w:val="20"/>
        <w:spacing w:after="0" w:line="240" w:lineRule="auto"/>
        <w:contextualSpacing/>
        <w:rPr>
          <w:spacing w:val="0"/>
          <w:sz w:val="28"/>
          <w:szCs w:val="28"/>
        </w:rPr>
      </w:pPr>
      <w:r w:rsidRPr="00C41AB0">
        <w:rPr>
          <w:spacing w:val="0"/>
          <w:sz w:val="28"/>
          <w:szCs w:val="28"/>
        </w:rPr>
        <w:t xml:space="preserve">Анализ </w:t>
      </w:r>
      <w:r w:rsidRPr="00C41AB0">
        <w:rPr>
          <w:spacing w:val="0"/>
          <w:kern w:val="36"/>
          <w:sz w:val="28"/>
          <w:szCs w:val="28"/>
        </w:rPr>
        <w:t xml:space="preserve">состояния безопасности движения на железнодорожном транспорте общего и необщего пользования (промышленные предприятия) </w:t>
      </w:r>
      <w:r w:rsidR="003202F6" w:rsidRPr="00C41AB0">
        <w:rPr>
          <w:spacing w:val="0"/>
          <w:kern w:val="36"/>
          <w:sz w:val="28"/>
          <w:szCs w:val="28"/>
        </w:rPr>
        <w:br/>
      </w:r>
      <w:r w:rsidRPr="00C41AB0">
        <w:rPr>
          <w:spacing w:val="0"/>
          <w:kern w:val="36"/>
          <w:sz w:val="28"/>
          <w:szCs w:val="28"/>
        </w:rPr>
        <w:t xml:space="preserve">за </w:t>
      </w:r>
      <w:r w:rsidR="00024F2B" w:rsidRPr="00C41AB0">
        <w:rPr>
          <w:spacing w:val="0"/>
          <w:kern w:val="36"/>
          <w:sz w:val="28"/>
          <w:szCs w:val="28"/>
          <w:lang w:val="en-US"/>
        </w:rPr>
        <w:t>I</w:t>
      </w:r>
      <w:r w:rsidR="00024F2B" w:rsidRPr="00C41AB0">
        <w:rPr>
          <w:spacing w:val="0"/>
          <w:kern w:val="36"/>
          <w:sz w:val="28"/>
          <w:szCs w:val="28"/>
        </w:rPr>
        <w:t xml:space="preserve"> квартал 2025</w:t>
      </w:r>
      <w:r w:rsidR="00C41AB0" w:rsidRPr="00C41AB0">
        <w:rPr>
          <w:spacing w:val="0"/>
          <w:kern w:val="36"/>
          <w:sz w:val="28"/>
          <w:szCs w:val="28"/>
        </w:rPr>
        <w:t xml:space="preserve"> года</w:t>
      </w:r>
    </w:p>
    <w:p w:rsidR="00162227" w:rsidRDefault="00162227" w:rsidP="005A0F64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325D49" w:rsidRDefault="007A01A1" w:rsidP="00C41AB0">
      <w:pPr>
        <w:pStyle w:val="20"/>
        <w:spacing w:after="0" w:line="276" w:lineRule="auto"/>
        <w:ind w:firstLine="708"/>
        <w:contextualSpacing/>
        <w:jc w:val="both"/>
        <w:rPr>
          <w:b w:val="0"/>
          <w:spacing w:val="0"/>
          <w:sz w:val="28"/>
          <w:szCs w:val="28"/>
        </w:rPr>
      </w:pPr>
      <w:r w:rsidRPr="0066394D">
        <w:rPr>
          <w:b w:val="0"/>
          <w:spacing w:val="0"/>
          <w:sz w:val="28"/>
          <w:szCs w:val="28"/>
        </w:rPr>
        <w:t xml:space="preserve">По завершению </w:t>
      </w:r>
      <w:r w:rsidR="00024F2B">
        <w:rPr>
          <w:b w:val="0"/>
          <w:spacing w:val="0"/>
          <w:sz w:val="28"/>
          <w:szCs w:val="28"/>
          <w:lang w:val="en-US"/>
        </w:rPr>
        <w:t>I</w:t>
      </w:r>
      <w:r w:rsidR="00024F2B">
        <w:rPr>
          <w:b w:val="0"/>
          <w:spacing w:val="0"/>
          <w:sz w:val="28"/>
          <w:szCs w:val="28"/>
        </w:rPr>
        <w:t xml:space="preserve"> квартала 2025</w:t>
      </w:r>
      <w:r w:rsidRPr="0066394D">
        <w:rPr>
          <w:b w:val="0"/>
          <w:spacing w:val="0"/>
          <w:sz w:val="28"/>
          <w:szCs w:val="28"/>
        </w:rPr>
        <w:t xml:space="preserve"> года МТУ Ространснадзора по СФО проведен анализ состояния безопасности движения на железнодорожном транспорте общего и необщего пользования (промышленные предприятия).</w:t>
      </w:r>
    </w:p>
    <w:p w:rsidR="00F34EED" w:rsidRDefault="00F34EED" w:rsidP="00325D49">
      <w:pPr>
        <w:pStyle w:val="20"/>
        <w:spacing w:after="0" w:line="360" w:lineRule="exact"/>
        <w:contextualSpacing/>
        <w:jc w:val="both"/>
        <w:rPr>
          <w:b w:val="0"/>
          <w:spacing w:val="0"/>
          <w:sz w:val="28"/>
          <w:szCs w:val="28"/>
        </w:rPr>
      </w:pPr>
    </w:p>
    <w:p w:rsidR="0066394D" w:rsidRPr="00EB3A3C" w:rsidRDefault="0066394D" w:rsidP="00C41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A27">
        <w:rPr>
          <w:rFonts w:ascii="Times New Roman" w:hAnsi="Times New Roman" w:cs="Times New Roman"/>
          <w:sz w:val="28"/>
          <w:szCs w:val="28"/>
        </w:rPr>
        <w:t xml:space="preserve">В указанный </w:t>
      </w:r>
      <w:r w:rsidRPr="00024F2B">
        <w:rPr>
          <w:rFonts w:ascii="Times New Roman" w:hAnsi="Times New Roman" w:cs="Times New Roman"/>
          <w:sz w:val="28"/>
          <w:szCs w:val="28"/>
        </w:rPr>
        <w:t xml:space="preserve">период на </w:t>
      </w:r>
      <w:r w:rsidRPr="00024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поднадзорных МТУ Ространснадзора по СФО железнодорожных путях общего пользования допущено </w:t>
      </w:r>
      <w:r w:rsidR="00024F2B" w:rsidRPr="00024F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24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сходов железнодорожного подвижного состава, </w:t>
      </w:r>
      <w:r w:rsidR="00B338C7" w:rsidRPr="00024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024F2B" w:rsidRPr="00024F2B">
        <w:rPr>
          <w:rFonts w:ascii="Times New Roman" w:hAnsi="Times New Roman" w:cs="Times New Roman"/>
          <w:color w:val="000000" w:themeColor="text1"/>
          <w:sz w:val="28"/>
          <w:szCs w:val="28"/>
        </w:rPr>
        <w:t>на 28</w:t>
      </w:r>
      <w:r w:rsidR="00B338C7" w:rsidRPr="00024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</w:t>
      </w:r>
      <w:r w:rsidR="00024F2B" w:rsidRPr="00024F2B"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B338C7" w:rsidRPr="00024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аналогичный</w:t>
      </w:r>
      <w:r w:rsidR="00024F2B" w:rsidRPr="00024F2B">
        <w:rPr>
          <w:rFonts w:ascii="Times New Roman" w:hAnsi="Times New Roman" w:cs="Times New Roman"/>
          <w:sz w:val="28"/>
          <w:szCs w:val="28"/>
        </w:rPr>
        <w:t xml:space="preserve"> период 2024</w:t>
      </w:r>
      <w:r w:rsidR="00B338C7" w:rsidRPr="00024F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394D" w:rsidRPr="00EB3A3C" w:rsidRDefault="0066394D" w:rsidP="0066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4D" w:rsidRPr="00EB3A3C" w:rsidRDefault="0066394D" w:rsidP="00C41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92">
        <w:rPr>
          <w:rFonts w:ascii="Times New Roman" w:hAnsi="Times New Roman" w:cs="Times New Roman"/>
          <w:sz w:val="28"/>
          <w:szCs w:val="28"/>
        </w:rPr>
        <w:t xml:space="preserve">железнодорожных путях необщего пользования, допущено </w:t>
      </w:r>
      <w:r w:rsidR="00024F2B">
        <w:rPr>
          <w:rFonts w:ascii="Times New Roman" w:hAnsi="Times New Roman" w:cs="Times New Roman"/>
          <w:sz w:val="28"/>
          <w:szCs w:val="28"/>
        </w:rPr>
        <w:t>16</w:t>
      </w:r>
      <w:r w:rsidR="002E43CE" w:rsidRPr="005B7992">
        <w:rPr>
          <w:rFonts w:ascii="Times New Roman" w:hAnsi="Times New Roman" w:cs="Times New Roman"/>
          <w:sz w:val="28"/>
          <w:szCs w:val="28"/>
        </w:rPr>
        <w:t xml:space="preserve"> сходов</w:t>
      </w:r>
      <w:r w:rsidRPr="005B7992">
        <w:rPr>
          <w:rFonts w:ascii="Times New Roman" w:hAnsi="Times New Roman" w:cs="Times New Roman"/>
          <w:sz w:val="28"/>
          <w:szCs w:val="28"/>
        </w:rPr>
        <w:t xml:space="preserve"> железнодорож</w:t>
      </w:r>
      <w:r w:rsidR="00024F2B">
        <w:rPr>
          <w:rFonts w:ascii="Times New Roman" w:hAnsi="Times New Roman" w:cs="Times New Roman"/>
          <w:sz w:val="28"/>
          <w:szCs w:val="28"/>
        </w:rPr>
        <w:t>ного подвижного состава, что на</w:t>
      </w:r>
      <w:r w:rsidRPr="005B7992">
        <w:rPr>
          <w:rFonts w:ascii="Times New Roman" w:hAnsi="Times New Roman" w:cs="Times New Roman"/>
          <w:sz w:val="28"/>
          <w:szCs w:val="28"/>
        </w:rPr>
        <w:t xml:space="preserve"> </w:t>
      </w:r>
      <w:r w:rsidR="00024F2B">
        <w:rPr>
          <w:rFonts w:ascii="Times New Roman" w:hAnsi="Times New Roman" w:cs="Times New Roman"/>
          <w:sz w:val="28"/>
          <w:szCs w:val="28"/>
        </w:rPr>
        <w:t>1</w:t>
      </w:r>
      <w:r w:rsidR="002E43CE" w:rsidRPr="005B7992">
        <w:rPr>
          <w:rFonts w:ascii="Times New Roman" w:hAnsi="Times New Roman" w:cs="Times New Roman"/>
          <w:sz w:val="28"/>
          <w:szCs w:val="28"/>
        </w:rPr>
        <w:t>4</w:t>
      </w:r>
      <w:r w:rsidRPr="005B7992">
        <w:rPr>
          <w:rFonts w:ascii="Times New Roman" w:hAnsi="Times New Roman" w:cs="Times New Roman"/>
          <w:sz w:val="28"/>
          <w:szCs w:val="28"/>
        </w:rPr>
        <w:t xml:space="preserve"> % </w:t>
      </w:r>
      <w:r w:rsidR="00024F2B">
        <w:rPr>
          <w:rFonts w:ascii="Times New Roman" w:hAnsi="Times New Roman" w:cs="Times New Roman"/>
          <w:sz w:val="28"/>
          <w:szCs w:val="28"/>
        </w:rPr>
        <w:t>выше за аналогичный период 2024</w:t>
      </w:r>
      <w:r w:rsidRPr="005B79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394D" w:rsidRPr="00EB3A3C" w:rsidRDefault="0066394D" w:rsidP="006639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394D" w:rsidRPr="00453099" w:rsidRDefault="0066394D" w:rsidP="00C41A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099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0" w:name="_Hlk31203514"/>
      <w:r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r w:rsidRPr="0045309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66394D" w:rsidRPr="007700CC" w:rsidRDefault="005B7992" w:rsidP="0066394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394D">
        <w:rPr>
          <w:rFonts w:ascii="Times New Roman" w:hAnsi="Times New Roman" w:cs="Times New Roman"/>
          <w:sz w:val="28"/>
          <w:szCs w:val="28"/>
        </w:rPr>
        <w:t xml:space="preserve"> </w:t>
      </w:r>
      <w:r w:rsidR="000A752F">
        <w:rPr>
          <w:rFonts w:ascii="Times New Roman" w:hAnsi="Times New Roman" w:cs="Times New Roman"/>
          <w:sz w:val="28"/>
          <w:szCs w:val="28"/>
        </w:rPr>
        <w:t>событий</w:t>
      </w:r>
      <w:r w:rsidR="0066394D" w:rsidRPr="000803E8">
        <w:rPr>
          <w:rFonts w:ascii="Times New Roman" w:hAnsi="Times New Roman" w:cs="Times New Roman"/>
          <w:sz w:val="28"/>
          <w:szCs w:val="28"/>
        </w:rPr>
        <w:t xml:space="preserve"> (</w:t>
      </w:r>
      <w:r w:rsidR="007700CC">
        <w:rPr>
          <w:rFonts w:ascii="Times New Roman" w:hAnsi="Times New Roman" w:cs="Times New Roman"/>
          <w:sz w:val="28"/>
          <w:szCs w:val="28"/>
        </w:rPr>
        <w:t>55,6</w:t>
      </w:r>
      <w:r w:rsidR="0066394D">
        <w:rPr>
          <w:rFonts w:ascii="Times New Roman" w:hAnsi="Times New Roman" w:cs="Times New Roman"/>
          <w:sz w:val="28"/>
          <w:szCs w:val="28"/>
        </w:rPr>
        <w:t xml:space="preserve"> </w:t>
      </w:r>
      <w:r w:rsidR="0066394D" w:rsidRPr="000803E8">
        <w:rPr>
          <w:rFonts w:ascii="Times New Roman" w:hAnsi="Times New Roman" w:cs="Times New Roman"/>
          <w:sz w:val="28"/>
          <w:szCs w:val="28"/>
        </w:rPr>
        <w:t xml:space="preserve">% от общего числа </w:t>
      </w:r>
      <w:r w:rsidR="0066394D">
        <w:rPr>
          <w:rFonts w:ascii="Times New Roman" w:hAnsi="Times New Roman" w:cs="Times New Roman"/>
          <w:sz w:val="28"/>
          <w:szCs w:val="28"/>
        </w:rPr>
        <w:t>сходов</w:t>
      </w:r>
      <w:r w:rsidR="00891F70">
        <w:rPr>
          <w:rFonts w:ascii="Times New Roman" w:hAnsi="Times New Roman" w:cs="Times New Roman"/>
          <w:sz w:val="28"/>
          <w:szCs w:val="28"/>
        </w:rPr>
        <w:t>) произошли</w:t>
      </w:r>
      <w:r w:rsidR="0066394D" w:rsidRPr="000803E8">
        <w:rPr>
          <w:rFonts w:ascii="Times New Roman" w:hAnsi="Times New Roman" w:cs="Times New Roman"/>
          <w:sz w:val="28"/>
          <w:szCs w:val="28"/>
        </w:rPr>
        <w:t xml:space="preserve"> по причине нарушения правил организации </w:t>
      </w:r>
      <w:r w:rsidR="0066394D" w:rsidRPr="007700CC">
        <w:rPr>
          <w:rFonts w:ascii="Times New Roman" w:hAnsi="Times New Roman" w:cs="Times New Roman"/>
          <w:sz w:val="28"/>
          <w:szCs w:val="28"/>
        </w:rPr>
        <w:t>поездной и маневровой работы;</w:t>
      </w:r>
    </w:p>
    <w:p w:rsidR="0066394D" w:rsidRPr="007700CC" w:rsidRDefault="005B7992" w:rsidP="00684BF0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C">
        <w:rPr>
          <w:rFonts w:ascii="Times New Roman" w:hAnsi="Times New Roman" w:cs="Times New Roman"/>
          <w:sz w:val="28"/>
          <w:szCs w:val="28"/>
        </w:rPr>
        <w:t>1</w:t>
      </w:r>
      <w:r w:rsidR="00684BF0" w:rsidRPr="007700CC">
        <w:rPr>
          <w:rFonts w:ascii="Times New Roman" w:hAnsi="Times New Roman" w:cs="Times New Roman"/>
          <w:sz w:val="28"/>
          <w:szCs w:val="28"/>
        </w:rPr>
        <w:t xml:space="preserve"> событие</w:t>
      </w:r>
      <w:r w:rsidR="0066394D" w:rsidRPr="007700CC">
        <w:rPr>
          <w:rFonts w:ascii="Times New Roman" w:hAnsi="Times New Roman" w:cs="Times New Roman"/>
          <w:sz w:val="28"/>
          <w:szCs w:val="28"/>
        </w:rPr>
        <w:t xml:space="preserve"> (</w:t>
      </w:r>
      <w:r w:rsidR="007700CC" w:rsidRPr="007700CC">
        <w:rPr>
          <w:rFonts w:ascii="Times New Roman" w:hAnsi="Times New Roman" w:cs="Times New Roman"/>
          <w:sz w:val="28"/>
          <w:szCs w:val="28"/>
        </w:rPr>
        <w:t>11,1</w:t>
      </w:r>
      <w:r w:rsidR="0066394D" w:rsidRPr="007700CC">
        <w:rPr>
          <w:rFonts w:ascii="Times New Roman" w:hAnsi="Times New Roman" w:cs="Times New Roman"/>
          <w:sz w:val="28"/>
          <w:szCs w:val="28"/>
        </w:rPr>
        <w:t xml:space="preserve"> % от общего числа сходов</w:t>
      </w:r>
      <w:r w:rsidR="00684BF0" w:rsidRPr="007700CC">
        <w:rPr>
          <w:rFonts w:ascii="Times New Roman" w:hAnsi="Times New Roman" w:cs="Times New Roman"/>
          <w:sz w:val="28"/>
          <w:szCs w:val="28"/>
        </w:rPr>
        <w:t>) произошло</w:t>
      </w:r>
      <w:r w:rsidR="0066394D" w:rsidRPr="007700CC">
        <w:rPr>
          <w:rFonts w:ascii="Times New Roman" w:hAnsi="Times New Roman" w:cs="Times New Roman"/>
          <w:sz w:val="28"/>
          <w:szCs w:val="28"/>
        </w:rPr>
        <w:t xml:space="preserve"> по причине неудовлетворительного текущего </w:t>
      </w:r>
      <w:r w:rsidR="0066394D" w:rsidRPr="007700CC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содержания пути</w:t>
      </w:r>
      <w:r w:rsidR="00891F70" w:rsidRPr="007700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700CC" w:rsidRPr="007700CC" w:rsidRDefault="007700CC" w:rsidP="007700C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C">
        <w:rPr>
          <w:rFonts w:ascii="Times New Roman" w:hAnsi="Times New Roman" w:cs="Times New Roman"/>
          <w:sz w:val="28"/>
          <w:szCs w:val="28"/>
        </w:rPr>
        <w:t>1 событие (11,1 % от общего числа сходов) произошло по причине нарушения технологии ремонта подвижного состава</w:t>
      </w:r>
      <w:r w:rsidRPr="007700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700CC" w:rsidRPr="007700CC" w:rsidRDefault="007700CC" w:rsidP="007700CC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7700CC">
        <w:rPr>
          <w:rFonts w:ascii="Times New Roman" w:hAnsi="Times New Roman" w:cs="Times New Roman"/>
          <w:sz w:val="28"/>
          <w:szCs w:val="28"/>
        </w:rPr>
        <w:t>событие (11,1 % от общего числа сходов) произошло по причине нарушения технологии производства путевых работ</w:t>
      </w:r>
      <w:r w:rsidRPr="007700C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752F" w:rsidRDefault="005B7992" w:rsidP="00126C7B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6C7B" w:rsidRPr="00126C7B">
        <w:rPr>
          <w:rFonts w:ascii="Times New Roman" w:hAnsi="Times New Roman" w:cs="Times New Roman"/>
          <w:sz w:val="28"/>
          <w:szCs w:val="28"/>
        </w:rPr>
        <w:t xml:space="preserve"> событие (</w:t>
      </w:r>
      <w:r w:rsidR="007700CC">
        <w:rPr>
          <w:rFonts w:ascii="Times New Roman" w:hAnsi="Times New Roman" w:cs="Times New Roman"/>
          <w:sz w:val="28"/>
          <w:szCs w:val="28"/>
        </w:rPr>
        <w:t>11,1</w:t>
      </w:r>
      <w:r w:rsidR="00126C7B" w:rsidRPr="00126C7B">
        <w:rPr>
          <w:rFonts w:ascii="Times New Roman" w:hAnsi="Times New Roman" w:cs="Times New Roman"/>
          <w:sz w:val="28"/>
          <w:szCs w:val="28"/>
        </w:rPr>
        <w:t xml:space="preserve"> % от общего числа сходов) </w:t>
      </w:r>
      <w:r w:rsidRPr="005B7992">
        <w:rPr>
          <w:rFonts w:ascii="Times New Roman" w:hAnsi="Times New Roman" w:cs="Times New Roman"/>
          <w:sz w:val="28"/>
          <w:szCs w:val="28"/>
        </w:rPr>
        <w:t>причина устанавливается, МТУ Ространснадзора по СФО создана комиссия для расс</w:t>
      </w:r>
      <w:r w:rsidR="007700CC">
        <w:rPr>
          <w:rFonts w:ascii="Times New Roman" w:hAnsi="Times New Roman" w:cs="Times New Roman"/>
          <w:sz w:val="28"/>
          <w:szCs w:val="28"/>
        </w:rPr>
        <w:t>ледования транспортного события.</w:t>
      </w:r>
    </w:p>
    <w:p w:rsidR="007700CC" w:rsidRPr="005B7992" w:rsidRDefault="007700CC" w:rsidP="007700CC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7DBE" w:rsidRDefault="00BE062E" w:rsidP="00DE21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57F9CC4" wp14:editId="18449E17">
            <wp:extent cx="6152515" cy="4594860"/>
            <wp:effectExtent l="0" t="0" r="6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00CC" w:rsidRDefault="007700CC" w:rsidP="0066394D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394D" w:rsidRDefault="0066394D" w:rsidP="00C41AB0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причинами сходов железнодорожного подвижного состава на железнодорожных путях необщего пользования года явились:</w:t>
      </w:r>
    </w:p>
    <w:p w:rsidR="00265C2A" w:rsidRDefault="00A92CD5" w:rsidP="0066394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событий по причине неудовлетворительного текущего содержания железнодорожного пути (62,5 % </w:t>
      </w:r>
      <w:r w:rsidRPr="00126C7B">
        <w:rPr>
          <w:rFonts w:ascii="Times New Roman" w:hAnsi="Times New Roman" w:cs="Times New Roman"/>
          <w:sz w:val="28"/>
          <w:szCs w:val="28"/>
        </w:rPr>
        <w:t>от общего числа сходов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92CD5" w:rsidRDefault="00A92CD5" w:rsidP="0066394D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событий по причине </w:t>
      </w:r>
      <w:r w:rsidRPr="004D4E6D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4E6D">
        <w:rPr>
          <w:rFonts w:ascii="Times New Roman" w:hAnsi="Times New Roman" w:cs="Times New Roman"/>
          <w:sz w:val="28"/>
          <w:szCs w:val="28"/>
        </w:rPr>
        <w:t xml:space="preserve"> правил организации маневровой работы</w:t>
      </w:r>
      <w:r>
        <w:rPr>
          <w:rFonts w:ascii="Times New Roman" w:hAnsi="Times New Roman" w:cs="Times New Roman"/>
          <w:sz w:val="28"/>
          <w:szCs w:val="28"/>
        </w:rPr>
        <w:t xml:space="preserve"> (31,3 % </w:t>
      </w:r>
      <w:r w:rsidRPr="00126C7B">
        <w:rPr>
          <w:rFonts w:ascii="Times New Roman" w:hAnsi="Times New Roman" w:cs="Times New Roman"/>
          <w:sz w:val="28"/>
          <w:szCs w:val="28"/>
        </w:rPr>
        <w:t>от общего числа сходов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0BF1">
        <w:rPr>
          <w:rFonts w:ascii="Times New Roman" w:hAnsi="Times New Roman" w:cs="Times New Roman"/>
          <w:sz w:val="28"/>
          <w:szCs w:val="28"/>
        </w:rPr>
        <w:t>;</w:t>
      </w:r>
    </w:p>
    <w:p w:rsidR="0066394D" w:rsidRPr="00265C2A" w:rsidRDefault="00A92CD5" w:rsidP="00A92CD5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7B">
        <w:rPr>
          <w:rFonts w:ascii="Times New Roman" w:hAnsi="Times New Roman" w:cs="Times New Roman"/>
          <w:sz w:val="28"/>
          <w:szCs w:val="28"/>
        </w:rPr>
        <w:t xml:space="preserve">1 событие </w:t>
      </w:r>
      <w:r>
        <w:rPr>
          <w:rFonts w:ascii="Times New Roman" w:hAnsi="Times New Roman" w:cs="Times New Roman"/>
          <w:sz w:val="28"/>
          <w:szCs w:val="28"/>
        </w:rPr>
        <w:t>(6,2</w:t>
      </w:r>
      <w:r w:rsidRPr="00126C7B">
        <w:rPr>
          <w:rFonts w:ascii="Times New Roman" w:hAnsi="Times New Roman" w:cs="Times New Roman"/>
          <w:sz w:val="28"/>
          <w:szCs w:val="28"/>
        </w:rPr>
        <w:t xml:space="preserve"> % от общего чис</w:t>
      </w:r>
      <w:r>
        <w:rPr>
          <w:rFonts w:ascii="Times New Roman" w:hAnsi="Times New Roman" w:cs="Times New Roman"/>
          <w:sz w:val="28"/>
          <w:szCs w:val="28"/>
        </w:rPr>
        <w:t>ла сходов) произошло по причине нарушения</w:t>
      </w:r>
      <w:r w:rsidRPr="00A92CD5">
        <w:rPr>
          <w:rFonts w:ascii="Times New Roman" w:hAnsi="Times New Roman" w:cs="Times New Roman"/>
          <w:sz w:val="28"/>
          <w:szCs w:val="28"/>
        </w:rPr>
        <w:t xml:space="preserve"> технологии проведения технического обслуживания подвижного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1A1" w:rsidRDefault="009F51C7" w:rsidP="00300E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F411E83" wp14:editId="770738FB">
            <wp:extent cx="6152515" cy="5140325"/>
            <wp:effectExtent l="0" t="0" r="635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01A1" w:rsidRDefault="007A01A1" w:rsidP="00323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DA4" w:rsidRPr="00C41AB0" w:rsidRDefault="00273DA4" w:rsidP="00EE5D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273DA4" w:rsidRPr="00C41AB0" w:rsidSect="007D44F5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5EB0"/>
    <w:rsid w:val="00024F2B"/>
    <w:rsid w:val="000A752F"/>
    <w:rsid w:val="000D2B98"/>
    <w:rsid w:val="000D4D89"/>
    <w:rsid w:val="000D7E3F"/>
    <w:rsid w:val="00126C7B"/>
    <w:rsid w:val="00155F91"/>
    <w:rsid w:val="00162227"/>
    <w:rsid w:val="00173055"/>
    <w:rsid w:val="001B556F"/>
    <w:rsid w:val="0021000C"/>
    <w:rsid w:val="00221D6C"/>
    <w:rsid w:val="00255C23"/>
    <w:rsid w:val="00261764"/>
    <w:rsid w:val="00265C2A"/>
    <w:rsid w:val="00273DA4"/>
    <w:rsid w:val="002774C7"/>
    <w:rsid w:val="002A4F78"/>
    <w:rsid w:val="002C6BF5"/>
    <w:rsid w:val="002D04FB"/>
    <w:rsid w:val="002D2D48"/>
    <w:rsid w:val="002E43CE"/>
    <w:rsid w:val="00300ED1"/>
    <w:rsid w:val="003202F6"/>
    <w:rsid w:val="003237EF"/>
    <w:rsid w:val="00325D49"/>
    <w:rsid w:val="003304FF"/>
    <w:rsid w:val="00335F98"/>
    <w:rsid w:val="003622AC"/>
    <w:rsid w:val="00365EEF"/>
    <w:rsid w:val="00373898"/>
    <w:rsid w:val="003740EB"/>
    <w:rsid w:val="0038509D"/>
    <w:rsid w:val="003D1D73"/>
    <w:rsid w:val="003D3650"/>
    <w:rsid w:val="003D73D3"/>
    <w:rsid w:val="003E0AD3"/>
    <w:rsid w:val="003E7A29"/>
    <w:rsid w:val="004E66A3"/>
    <w:rsid w:val="00513E2A"/>
    <w:rsid w:val="00541574"/>
    <w:rsid w:val="005A0F64"/>
    <w:rsid w:val="005B272E"/>
    <w:rsid w:val="005B7992"/>
    <w:rsid w:val="005E7412"/>
    <w:rsid w:val="005F6D59"/>
    <w:rsid w:val="00605CCD"/>
    <w:rsid w:val="006330DB"/>
    <w:rsid w:val="00635BAF"/>
    <w:rsid w:val="0066394D"/>
    <w:rsid w:val="00684BF0"/>
    <w:rsid w:val="006B2FEB"/>
    <w:rsid w:val="006C4A60"/>
    <w:rsid w:val="006D5B3D"/>
    <w:rsid w:val="00700489"/>
    <w:rsid w:val="00707A6A"/>
    <w:rsid w:val="00717DBE"/>
    <w:rsid w:val="00721664"/>
    <w:rsid w:val="00764C55"/>
    <w:rsid w:val="007700CC"/>
    <w:rsid w:val="00780F6C"/>
    <w:rsid w:val="0078568D"/>
    <w:rsid w:val="00787E4E"/>
    <w:rsid w:val="00792BF1"/>
    <w:rsid w:val="0079736F"/>
    <w:rsid w:val="007A01A1"/>
    <w:rsid w:val="007A0FAA"/>
    <w:rsid w:val="007A6319"/>
    <w:rsid w:val="007D44F5"/>
    <w:rsid w:val="007F4DF1"/>
    <w:rsid w:val="008169E2"/>
    <w:rsid w:val="00835107"/>
    <w:rsid w:val="00840938"/>
    <w:rsid w:val="00862533"/>
    <w:rsid w:val="008702BF"/>
    <w:rsid w:val="0088100D"/>
    <w:rsid w:val="00891B13"/>
    <w:rsid w:val="00891F70"/>
    <w:rsid w:val="008B2C74"/>
    <w:rsid w:val="008B44D9"/>
    <w:rsid w:val="008B7579"/>
    <w:rsid w:val="008C7958"/>
    <w:rsid w:val="008E79D8"/>
    <w:rsid w:val="00911A66"/>
    <w:rsid w:val="009125E3"/>
    <w:rsid w:val="00953F6A"/>
    <w:rsid w:val="00966EA3"/>
    <w:rsid w:val="009732F8"/>
    <w:rsid w:val="009A430A"/>
    <w:rsid w:val="009C7C4C"/>
    <w:rsid w:val="009E62AB"/>
    <w:rsid w:val="009F51C7"/>
    <w:rsid w:val="00A0378F"/>
    <w:rsid w:val="00A06864"/>
    <w:rsid w:val="00A73FF1"/>
    <w:rsid w:val="00A85866"/>
    <w:rsid w:val="00A8634D"/>
    <w:rsid w:val="00A92CD5"/>
    <w:rsid w:val="00AB244A"/>
    <w:rsid w:val="00AC07A8"/>
    <w:rsid w:val="00AD0546"/>
    <w:rsid w:val="00AE43A2"/>
    <w:rsid w:val="00AE5329"/>
    <w:rsid w:val="00AE5BFF"/>
    <w:rsid w:val="00B056C7"/>
    <w:rsid w:val="00B269D8"/>
    <w:rsid w:val="00B32BA6"/>
    <w:rsid w:val="00B338C7"/>
    <w:rsid w:val="00BD2E32"/>
    <w:rsid w:val="00BD599E"/>
    <w:rsid w:val="00BE062E"/>
    <w:rsid w:val="00C01052"/>
    <w:rsid w:val="00C05F70"/>
    <w:rsid w:val="00C14DC3"/>
    <w:rsid w:val="00C36F05"/>
    <w:rsid w:val="00C41AB0"/>
    <w:rsid w:val="00C50644"/>
    <w:rsid w:val="00C61963"/>
    <w:rsid w:val="00C85076"/>
    <w:rsid w:val="00CB193A"/>
    <w:rsid w:val="00CD0427"/>
    <w:rsid w:val="00D04FCB"/>
    <w:rsid w:val="00D43FC3"/>
    <w:rsid w:val="00D57B84"/>
    <w:rsid w:val="00D94426"/>
    <w:rsid w:val="00DA50BE"/>
    <w:rsid w:val="00DB6030"/>
    <w:rsid w:val="00DD5219"/>
    <w:rsid w:val="00DE2117"/>
    <w:rsid w:val="00DF2170"/>
    <w:rsid w:val="00E01664"/>
    <w:rsid w:val="00E01EBD"/>
    <w:rsid w:val="00E13C98"/>
    <w:rsid w:val="00E15E46"/>
    <w:rsid w:val="00E2272B"/>
    <w:rsid w:val="00E47E7B"/>
    <w:rsid w:val="00E93795"/>
    <w:rsid w:val="00EA5EB0"/>
    <w:rsid w:val="00EB3A3C"/>
    <w:rsid w:val="00EC666C"/>
    <w:rsid w:val="00ED1EEC"/>
    <w:rsid w:val="00EE5DC6"/>
    <w:rsid w:val="00F34EED"/>
    <w:rsid w:val="00F574B4"/>
    <w:rsid w:val="00F917B0"/>
    <w:rsid w:val="00F95932"/>
    <w:rsid w:val="00FB28C8"/>
    <w:rsid w:val="00FE3902"/>
    <w:rsid w:val="00FE6DF5"/>
    <w:rsid w:val="00FF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70"/>
  </w:style>
  <w:style w:type="paragraph" w:styleId="3">
    <w:name w:val="heading 3"/>
    <w:basedOn w:val="a"/>
    <w:link w:val="30"/>
    <w:uiPriority w:val="9"/>
    <w:qFormat/>
    <w:rsid w:val="00E227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2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2272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7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7A2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100D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62227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2227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styleId="a7">
    <w:name w:val="footer"/>
    <w:basedOn w:val="a"/>
    <w:link w:val="a8"/>
    <w:uiPriority w:val="99"/>
    <w:unhideWhenUsed/>
    <w:rsid w:val="0066394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6394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66.3.5\Obmen\&#1054;&#1059;&#1080;&#1056;&#1053;&#1041;&#1044;&#1055;&#1080;&#1050;&#1042;&#1058;\&#1043;&#1072;&#1084;&#1072;&#1085;&#1102;&#1082;%20&#1052;.&#1057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66.3.5\Obmen\&#1054;&#1059;&#1080;&#1056;&#1053;&#1041;&#1044;&#1055;&#1080;&#1050;&#1042;&#1058;\&#1043;&#1072;&#1084;&#1072;&#1085;&#1102;&#1082;%20&#1052;.&#1057;\&#1040;&#1085;&#1072;&#1083;&#1080;&#1079;\&#1055;&#1086;%20&#1084;&#1077;&#1089;&#1103;&#1095;&#1085;&#1086;&#1084;&#1091;%20&#1080;%20&#1082;&#1074;&#1072;&#1088;&#1090;&#1072;&#1083;&#1100;&#1085;&#1086;&#1084;&#1091;%20&#1072;&#1085;&#1072;&#1083;&#1080;&#1079;&#109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sz="1450" b="1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+mn-cs"/>
              </a:defRPr>
            </a:pPr>
            <a:r>
              <a:rPr lang="ru-RU" sz="1400" b="1" i="0"/>
              <a:t>Причины сходов железнодорожного подвижного состава, допущенных на железнодорожных путях общего пользования за </a:t>
            </a:r>
            <a:r>
              <a:rPr lang="en-US" sz="1400" b="1" i="0"/>
              <a:t>I </a:t>
            </a:r>
            <a:r>
              <a:rPr lang="ru-RU" sz="1400" b="1" i="0"/>
              <a:t>квартал 2025 года</a:t>
            </a:r>
            <a:endParaRPr lang="ru-RU" sz="1400"/>
          </a:p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sz="1450" b="1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+mn-cs"/>
              </a:defRPr>
            </a:pP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7217099999999999"/>
          <c:y val="0.30709199999999998"/>
          <c:w val="0.34882099999999999"/>
          <c:h val="0.47642299999999999"/>
        </c:manualLayout>
      </c:layout>
      <c:pieChart>
        <c:varyColors val="1"/>
        <c:ser>
          <c:idx val="0"/>
          <c:order val="0"/>
          <c:explosion val="7"/>
          <c:dLbls>
            <c:dLbl>
              <c:idx val="0"/>
              <c:layout>
                <c:manualLayout>
                  <c:x val="2.1915929239495219E-2"/>
                  <c:y val="-5.14085013232267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948999999999999E-2"/>
                  <c:y val="-1.57759999999999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681000000000003E-2"/>
                  <c:y val="-3.22739999999999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7447000000000001E-2"/>
                  <c:y val="-2.93439999999999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566E-2"/>
                  <c:y val="-2.051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866E-2"/>
                  <c:y val="-2.05520000000000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'[По месячному и квартальному анализу.xlsx]Лист1'!$D$28;'[По месячному и квартальному анализу.xlsx]Лист1'!$D$27;'[По месячному и квартальному анализу.xlsx]Лист1'!$D$31;'[По месячному и квартальному анализу.xlsx]Лист1'!$D$35;'[По месячному и квартальному анализу.xlsx]Лист1'!$D$36</c:f>
              <c:strCache>
                <c:ptCount val="5"/>
                <c:pt idx="0">
                  <c:v>55,6 % нарушение правил организации поездной и маневровой работы</c:v>
                </c:pt>
                <c:pt idx="1">
                  <c:v>11,1 % неудовлетворительное текущее содержания пути</c:v>
                </c:pt>
                <c:pt idx="2">
                  <c:v>11,1 % нарушение технологии ремонта подвижного состава</c:v>
                </c:pt>
                <c:pt idx="3">
                  <c:v>11,1 % нарушение технологии производства путевых работ</c:v>
                </c:pt>
                <c:pt idx="4">
                  <c:v>11,1 % причина устанавливается</c:v>
                </c:pt>
              </c:strCache>
            </c:strRef>
          </c:cat>
          <c:val>
            <c:numRef>
              <c:f>'[По месячному и квартальному анализу.xlsx]Лист1'!$C$28;'[По месячному и квартальному анализу.xlsx]Лист1'!$C$27;'[По месячному и квартальному анализу.xlsx]Лист1'!$C$31;'[По месячному и квартальному анализу.xlsx]Лист1'!$C$35;'[По месячному и квартальному анализу.xlsx]Лист1'!$C$36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972956940753933"/>
          <c:y val="0.24836360629050722"/>
          <c:w val="0.34792243497171482"/>
          <c:h val="0.66762012335522736"/>
        </c:manualLayout>
      </c:layout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200">
          <a:latin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+mn-cs"/>
              </a:defRPr>
            </a:pPr>
            <a:r>
              <a:rPr lang="ru-RU" sz="1400" b="1" i="0"/>
              <a:t>Причины сходов железнодорожного подвижного состава, допущенных на путях необщего пользования за </a:t>
            </a:r>
            <a:r>
              <a:rPr lang="en-US" sz="1400" b="1" i="0"/>
              <a:t>I </a:t>
            </a:r>
            <a:r>
              <a:rPr lang="ru-RU" sz="1400" b="1" i="0"/>
              <a:t>квартал 2025 года</a:t>
            </a:r>
            <a:endParaRPr lang="ru-RU"/>
          </a:p>
          <a:p>
            <a:pPr marL="0" marR="0" indent="0" algn="ctr" defTabSz="914400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defRPr sz="1400" b="1" i="0" u="none" strike="noStrike">
                <a:solidFill>
                  <a:sysClr val="windowText" lastClr="000000"/>
                </a:solidFill>
                <a:latin typeface="Times New Roman"/>
                <a:ea typeface="+mn-ea"/>
                <a:cs typeface="+mn-cs"/>
              </a:defRPr>
            </a:pPr>
            <a:endParaRPr lang="ru-RU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3868506374783653E-2"/>
          <c:y val="0.27582769571962862"/>
          <c:w val="0.4200467613650678"/>
          <c:h val="0.50275887225029547"/>
        </c:manualLayout>
      </c:layout>
      <c:pieChart>
        <c:varyColors val="1"/>
        <c:ser>
          <c:idx val="0"/>
          <c:order val="0"/>
          <c:explosion val="6"/>
          <c:dLbls>
            <c:dLbl>
              <c:idx val="0"/>
              <c:layout>
                <c:manualLayout>
                  <c:x val="2.5122999999999999E-2"/>
                  <c:y val="-5.45689999999999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7944999999999999E-2"/>
                  <c:y val="3.319899999999999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2301000000000003E-2"/>
                  <c:y val="-1.29440000000000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328999999999999E-2"/>
                  <c:y val="-2.343599999999999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944999999999999E-2"/>
                  <c:y val="-3.07480000000000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'[По месячному и квартальному анализу.xlsx]Лист1'!$D$56;'[По месячному и квартальному анализу.xlsx]Лист1'!$D$57;'[По месячному и квартальному анализу.xlsx]Лист1'!$D$66</c:f>
              <c:strCache>
                <c:ptCount val="3"/>
                <c:pt idx="0">
                  <c:v>62,5 % неудовлетворительное текущее содержание железнодорожного пути</c:v>
                </c:pt>
                <c:pt idx="1">
                  <c:v>31,3 % нарушение правил организации маневровой работы</c:v>
                </c:pt>
                <c:pt idx="2">
                  <c:v>6,2 % нарушение технологии проведения технического обслуживания подвижного состава</c:v>
                </c:pt>
              </c:strCache>
            </c:strRef>
          </c:cat>
          <c:val>
            <c:numRef>
              <c:f>'[По месячному и квартальному анализу.xlsx]Лист1'!$C$56;'[По месячному и квартальному анализу.xlsx]Лист1'!$C$57;'[По месячному и квартальному анализу.xlsx]Лист1'!$C$66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014228484597323"/>
          <c:y val="0.23026538349372996"/>
          <c:w val="0.35751070903524818"/>
          <c:h val="0.65728081395631599"/>
        </c:manualLayout>
      </c:layout>
      <c:overlay val="0"/>
      <c:txPr>
        <a:bodyPr/>
        <a:lstStyle/>
        <a:p>
          <a:pPr>
            <a:defRPr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200">
          <a:latin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59AA-1B58-4564-86B3-64D6C6D5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Nevidimov</dc:creator>
  <cp:lastModifiedBy>Chubarova_AA</cp:lastModifiedBy>
  <cp:revision>18</cp:revision>
  <cp:lastPrinted>2023-07-26T04:46:00Z</cp:lastPrinted>
  <dcterms:created xsi:type="dcterms:W3CDTF">2023-10-17T09:49:00Z</dcterms:created>
  <dcterms:modified xsi:type="dcterms:W3CDTF">2025-04-17T02:51:00Z</dcterms:modified>
</cp:coreProperties>
</file>